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DF" w:rsidRPr="00AB135C" w:rsidRDefault="001867DF" w:rsidP="0018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5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1867DF" w:rsidRPr="00AB135C" w:rsidRDefault="001867DF" w:rsidP="00186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5C">
        <w:rPr>
          <w:rFonts w:ascii="Times New Roman" w:hAnsi="Times New Roman" w:cs="Times New Roman"/>
          <w:b/>
          <w:sz w:val="28"/>
          <w:szCs w:val="28"/>
        </w:rPr>
        <w:t>«Детская школа искусств «Дом музыки»</w:t>
      </w:r>
    </w:p>
    <w:p w:rsidR="001867DF" w:rsidRPr="00AB135C" w:rsidRDefault="001867DF" w:rsidP="00186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35C">
        <w:rPr>
          <w:rFonts w:ascii="Times New Roman" w:hAnsi="Times New Roman" w:cs="Times New Roman"/>
          <w:b/>
          <w:sz w:val="28"/>
          <w:szCs w:val="28"/>
        </w:rPr>
        <w:t>города Магнитогорска</w:t>
      </w:r>
    </w:p>
    <w:p w:rsidR="001867DF" w:rsidRDefault="001867DF" w:rsidP="001867DF">
      <w:pPr>
        <w:spacing w:after="150" w:line="240" w:lineRule="auto"/>
        <w:jc w:val="center"/>
        <w:rPr>
          <w:rStyle w:val="a3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1867DF" w:rsidRDefault="001867DF" w:rsidP="001867DF">
      <w:pPr>
        <w:spacing w:after="150" w:line="240" w:lineRule="auto"/>
        <w:jc w:val="center"/>
        <w:rPr>
          <w:rStyle w:val="a3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1867DF" w:rsidRDefault="001867DF" w:rsidP="001867DF">
      <w:pPr>
        <w:spacing w:after="150" w:line="240" w:lineRule="auto"/>
        <w:jc w:val="center"/>
        <w:rPr>
          <w:rStyle w:val="a3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1867DF" w:rsidRPr="00AB135C" w:rsidRDefault="001867DF" w:rsidP="001867DF">
      <w:pPr>
        <w:spacing w:after="150" w:line="240" w:lineRule="auto"/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bCs/>
          <w:color w:val="000000"/>
          <w:sz w:val="33"/>
          <w:szCs w:val="33"/>
          <w:shd w:val="clear" w:color="auto" w:fill="FFFFFF"/>
        </w:rPr>
        <w:t>Методические</w:t>
      </w:r>
      <w:r w:rsidRPr="00AB135C">
        <w:rPr>
          <w:rStyle w:val="a3"/>
          <w:rFonts w:ascii="Times New Roman" w:hAnsi="Times New Roman" w:cs="Times New Roman"/>
          <w:b/>
          <w:bCs/>
          <w:color w:val="000000"/>
          <w:sz w:val="33"/>
          <w:szCs w:val="33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/>
          <w:bCs/>
          <w:color w:val="000000"/>
          <w:sz w:val="33"/>
          <w:szCs w:val="33"/>
          <w:shd w:val="clear" w:color="auto" w:fill="FFFFFF"/>
        </w:rPr>
        <w:t>рекомендации</w:t>
      </w:r>
      <w:r w:rsidRPr="00AB135C">
        <w:rPr>
          <w:rStyle w:val="a3"/>
          <w:rFonts w:ascii="Times New Roman" w:hAnsi="Times New Roman" w:cs="Times New Roman"/>
          <w:b/>
          <w:bCs/>
          <w:color w:val="000000"/>
          <w:sz w:val="33"/>
          <w:szCs w:val="33"/>
          <w:shd w:val="clear" w:color="auto" w:fill="FFFFFF"/>
        </w:rPr>
        <w:t> </w:t>
      </w:r>
    </w:p>
    <w:p w:rsidR="001867DF" w:rsidRDefault="001867DF" w:rsidP="001867DF">
      <w:pPr>
        <w:spacing w:after="150" w:line="240" w:lineRule="auto"/>
        <w:jc w:val="center"/>
        <w:rPr>
          <w:rStyle w:val="a3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1867DF" w:rsidRPr="002F1034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«</w:t>
      </w:r>
      <w:r w:rsidRPr="001867DF">
        <w:rPr>
          <w:rFonts w:ascii="Times New Roman" w:hAnsi="Times New Roman" w:cs="Times New Roman"/>
          <w:b/>
          <w:i/>
          <w:sz w:val="48"/>
          <w:szCs w:val="48"/>
        </w:rPr>
        <w:t>Задачи учебно‐воспитательной работы  в детском театральном коллективе</w:t>
      </w:r>
      <w:r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»</w:t>
      </w:r>
    </w:p>
    <w:p w:rsidR="001867DF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867DF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867DF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867DF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Автор: Лычагина Ю.К.,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методист</w:t>
      </w:r>
      <w:proofErr w:type="gramStart"/>
      <w:r w:rsidR="00D80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,п</w:t>
      </w:r>
      <w:proofErr w:type="gramEnd"/>
      <w:r w:rsidR="00D80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реподаватель</w:t>
      </w:r>
      <w:bookmarkStart w:id="0" w:name="_GoBack"/>
      <w:bookmarkEnd w:id="0"/>
      <w:proofErr w:type="spellEnd"/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67DF" w:rsidRPr="00AB135C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Магнитогорск, 2023</w:t>
      </w:r>
    </w:p>
    <w:p w:rsidR="001867DF" w:rsidRDefault="001867DF" w:rsidP="001867D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757" w:rsidRDefault="001867DF" w:rsidP="008C675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6757">
        <w:rPr>
          <w:rFonts w:ascii="Times New Roman" w:hAnsi="Times New Roman" w:cs="Times New Roman"/>
          <w:b/>
          <w:sz w:val="28"/>
          <w:szCs w:val="28"/>
        </w:rPr>
        <w:lastRenderedPageBreak/>
        <w:t>Задачи учебно‐воспитательной работы  в детском театральном коллективе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Учебно-воспитательная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Неразрывная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исполнителей.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мастерства.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назовем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зданием,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назвать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фундаментом,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покоится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постороннему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глазу,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крепости,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долговечного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заложенного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фундамента,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появиться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зарождению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предшествовала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забывать,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фундамент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велико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самоцель,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фундамент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постройки.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развернутом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Макаренко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подчеркивал,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Другая,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индивидуальная.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разрабатывается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конкретным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недостатков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своеобразным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коррективом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конкретизация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грамотному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письму,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lastRenderedPageBreak/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распадается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расстановке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препинания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бессоюзном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сложноподчиненном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предложении.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Последовательное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ведет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конечном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Конкретизация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67DF">
        <w:rPr>
          <w:rFonts w:ascii="Times New Roman" w:hAnsi="Times New Roman" w:cs="Times New Roman"/>
          <w:sz w:val="28"/>
          <w:szCs w:val="28"/>
        </w:rPr>
        <w:t>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отдельном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важнейший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понятиями,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владел,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расширяем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кругозор.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характера,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наоборот.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тактичен.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человеке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единство,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гармоничное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нужна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целостная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отдаем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предпочтение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единый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протяжении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средам</w:t>
      </w:r>
      <w:proofErr w:type="gramEnd"/>
      <w:r w:rsidRPr="00186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пятницам.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воспитываем.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касается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стремления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прекрасное,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прекрасное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искусстве,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эстетическому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литературные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пьесы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художественными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особенностями;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просмотры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кинофильмов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обсуждением;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музеев;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выпускаемых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актерскому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мастерству,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гриму,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танцу,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книг,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рецензий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искусства.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lastRenderedPageBreak/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строится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серьезных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здесь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совершается,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пьесы,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вплоть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выпуска,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углублению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участников,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самосознания.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конечном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счете,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художественных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вкусов,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7DF">
        <w:rPr>
          <w:rFonts w:ascii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искусства,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плохое,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любить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прекрасное.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выступлениях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репетиционном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режиссер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нормам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никакого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лишнего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шума,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громких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продумать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актеров,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перестановки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быстро,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бесшумно.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DF">
        <w:rPr>
          <w:rFonts w:ascii="Times New Roman" w:hAnsi="Times New Roman" w:cs="Times New Roman"/>
          <w:sz w:val="28"/>
          <w:szCs w:val="28"/>
        </w:rPr>
        <w:t>псевдотеатральная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свобода,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снижает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хорошем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выступления,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анализом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выразительные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средства,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музыкальное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оформление,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световое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декоративное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оформление,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костюмное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сыгранных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театрализованными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представлениями.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обязательном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изучаться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дисциплины: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Актерское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Учебно-тренировочные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подготавливают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представлений.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lastRenderedPageBreak/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компонентов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ролью.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Режиссер,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репетицию,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конкретное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учебно-тренировочное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занятие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867DF">
        <w:rPr>
          <w:rFonts w:ascii="Times New Roman" w:hAnsi="Times New Roman" w:cs="Times New Roman"/>
          <w:sz w:val="28"/>
          <w:szCs w:val="28"/>
        </w:rPr>
        <w:t>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эпизод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репетировать;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наметить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мизансцены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репетиционном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проверить,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мизансценический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рисунок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исполнителем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важен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Режиссеру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важное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1867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логика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текста;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правдивость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действия;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жизненность,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оправданность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построении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мизансцен.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Ведь,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присутствуя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слышим,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говорит,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любая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ошибка,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буквально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слуху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логике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правильности,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ударений,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текста,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слушателей,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зрителей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пропадать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эпизоды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идущем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театрализованном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представлении.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мизансцена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отрезок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мизансцене,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наблюдательным.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подсмотреть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характерные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перенести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площадку.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украсить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мизансценами,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взятыми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помогающими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украсить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художественного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морально-этических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эстетических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7DF">
        <w:rPr>
          <w:rFonts w:ascii="Times New Roman" w:hAnsi="Times New Roman" w:cs="Times New Roman"/>
          <w:sz w:val="28"/>
          <w:szCs w:val="28"/>
        </w:rPr>
        <w:t>театральном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исполнителей,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конечной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проходило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безупречно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lastRenderedPageBreak/>
        <w:t>организованно,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хорошем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Серьезное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неизбежно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окажет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духовное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важно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сценарии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взволновали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Pr="008C6757" w:rsidRDefault="001867DF" w:rsidP="008C6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757">
        <w:rPr>
          <w:rFonts w:ascii="Times New Roman" w:hAnsi="Times New Roman" w:cs="Times New Roman"/>
          <w:b/>
          <w:sz w:val="28"/>
          <w:szCs w:val="28"/>
        </w:rPr>
        <w:t>Организация и планирование  учебно‐воспитательного процесса  в театральном коллективе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Организационно-педагогическая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7DF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согласованного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межличностного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искусству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расширения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эстетического,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кругозора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актёра-любителя.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комплексом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назначенном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направление,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поэтапную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охватывает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методы,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Хронология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разнохарактерных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этапов: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Мотивацио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67DF">
        <w:rPr>
          <w:rFonts w:ascii="Times New Roman" w:hAnsi="Times New Roman" w:cs="Times New Roman"/>
          <w:sz w:val="28"/>
          <w:szCs w:val="28"/>
        </w:rPr>
        <w:t>но-ориентировочный.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Адап</w:t>
      </w:r>
      <w:r>
        <w:rPr>
          <w:rFonts w:ascii="Times New Roman" w:hAnsi="Times New Roman" w:cs="Times New Roman"/>
          <w:sz w:val="28"/>
          <w:szCs w:val="28"/>
        </w:rPr>
        <w:t>таци</w:t>
      </w:r>
      <w:r w:rsidRPr="001867D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67DF">
        <w:rPr>
          <w:rFonts w:ascii="Times New Roman" w:hAnsi="Times New Roman" w:cs="Times New Roman"/>
          <w:sz w:val="28"/>
          <w:szCs w:val="28"/>
        </w:rPr>
        <w:t>о-обучающий.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Репродуктивно-технический.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Творческий.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переходит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186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организованность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самотека,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случайности,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успешной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Неразрывная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связь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событиями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районе,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городе,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селе,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жизнью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lastRenderedPageBreak/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творческие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культурно-массовые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календарь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знаменательных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памятных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координационный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организационно-методический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стратегические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стоящие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предполагает: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организованных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конкретные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исполнителей.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частями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планируемое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время).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Репертуарный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поставить;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материалом;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учебно-тренировочные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экскурсии,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организационная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помещения;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спектаклей,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концертов,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выступления;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обсуждение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активом.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подробная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месяц,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квартал.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согласовывается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репетиций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посещаемости,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плакатов,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афиш,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рецензий,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книги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отзывов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фотоальбомов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видеотеки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мировоззрения,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нравственной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собственно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lastRenderedPageBreak/>
        <w:t>образование.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главных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главной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гармоничного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узком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специфическом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изготовленные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школьным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собственного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выпускнику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профессиональном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учреждении,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специальностям,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получил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ЦДО.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искусств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специальности.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одним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ориентировано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67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самореализации;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адекватной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современному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картины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интеграцию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мировую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интегрированного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нацеленного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графиком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выпускников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пункту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Закона.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lastRenderedPageBreak/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очередь,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соответствовать: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достижениям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российским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традициям,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культурно-национальным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регионов;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соответствующему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(дошкольному,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среднему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(полному)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образованию);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направленностям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(научно-технической,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спортивно-технической,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художественной,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физкультурно-спортивной,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туристско-краеведческой,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DF">
        <w:rPr>
          <w:rFonts w:ascii="Times New Roman" w:hAnsi="Times New Roman" w:cs="Times New Roman"/>
          <w:sz w:val="28"/>
          <w:szCs w:val="28"/>
        </w:rPr>
        <w:t>экологобиологической</w:t>
      </w:r>
      <w:proofErr w:type="spellEnd"/>
      <w:r w:rsidRPr="001867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военно-патриотической,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социально-педагогической,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социально-экономической,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естественно-научной).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технологиям,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отраженным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(индивидуальности,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доступности,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преемственности,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результативности);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дифференцированного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занятиях,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конкурсах,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соревнованиях,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экскурсиях,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методах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(анализе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детей);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необходимого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инструментов,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расчете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объединении).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867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творчеству;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Приобщение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ценностям;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асоциального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поведения;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социального,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самоопределения,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Целостность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физического,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духовного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ребенка;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семьей.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руководствоваться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стандартом,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изложены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минимуму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результатам,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учитывают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7DF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фундамента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учитывает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объективной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Нормативный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региональных,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этнокультурных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духовно-нравственного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идентичности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1867D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подход,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предполагает: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lastRenderedPageBreak/>
        <w:t>-содержания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определяющие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желаемого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(результата)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867DF">
        <w:rPr>
          <w:rFonts w:ascii="Times New Roman" w:hAnsi="Times New Roman" w:cs="Times New Roman"/>
          <w:sz w:val="28"/>
          <w:szCs w:val="28"/>
        </w:rPr>
        <w:t>;</w:t>
      </w:r>
    </w:p>
    <w:p w:rsidR="008C6757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возрастных,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путей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достижения;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23D" w:rsidRPr="001867DF" w:rsidRDefault="001867DF" w:rsidP="001867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7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гарантированность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7DF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успешного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умений,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компетенций,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Стандартом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ступени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осуществляется: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сохранять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следовать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планировать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оценку,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педагогом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процессе;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Духовно-нравственное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предусматривающее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моральных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нравственных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национальных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Воспитание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7DF">
        <w:rPr>
          <w:rFonts w:ascii="Times New Roman" w:hAnsi="Times New Roman" w:cs="Times New Roman"/>
          <w:sz w:val="28"/>
          <w:szCs w:val="28"/>
        </w:rPr>
        <w:t>демократического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толерантности,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диалога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7DF">
        <w:rPr>
          <w:rFonts w:ascii="Times New Roman" w:hAnsi="Times New Roman" w:cs="Times New Roman"/>
          <w:sz w:val="28"/>
          <w:szCs w:val="28"/>
        </w:rPr>
        <w:t>уважения.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23D" w:rsidRPr="001867DF" w:rsidSect="008C675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17" w:rsidRDefault="00B71417" w:rsidP="008C6757">
      <w:pPr>
        <w:spacing w:after="0" w:line="240" w:lineRule="auto"/>
      </w:pPr>
      <w:r>
        <w:separator/>
      </w:r>
    </w:p>
  </w:endnote>
  <w:endnote w:type="continuationSeparator" w:id="0">
    <w:p w:rsidR="00B71417" w:rsidRDefault="00B71417" w:rsidP="008C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526693"/>
      <w:docPartObj>
        <w:docPartGallery w:val="Page Numbers (Bottom of Page)"/>
        <w:docPartUnique/>
      </w:docPartObj>
    </w:sdtPr>
    <w:sdtContent>
      <w:p w:rsidR="008C6757" w:rsidRDefault="008C67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FD6">
          <w:rPr>
            <w:noProof/>
          </w:rPr>
          <w:t>11</w:t>
        </w:r>
        <w:r>
          <w:fldChar w:fldCharType="end"/>
        </w:r>
      </w:p>
    </w:sdtContent>
  </w:sdt>
  <w:p w:rsidR="008C6757" w:rsidRDefault="008C67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17" w:rsidRDefault="00B71417" w:rsidP="008C6757">
      <w:pPr>
        <w:spacing w:after="0" w:line="240" w:lineRule="auto"/>
      </w:pPr>
      <w:r>
        <w:separator/>
      </w:r>
    </w:p>
  </w:footnote>
  <w:footnote w:type="continuationSeparator" w:id="0">
    <w:p w:rsidR="00B71417" w:rsidRDefault="00B71417" w:rsidP="008C6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DF"/>
    <w:rsid w:val="001867DF"/>
    <w:rsid w:val="00717548"/>
    <w:rsid w:val="007754D5"/>
    <w:rsid w:val="008C6757"/>
    <w:rsid w:val="00B71417"/>
    <w:rsid w:val="00D8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67DF"/>
    <w:rPr>
      <w:i/>
      <w:iCs/>
    </w:rPr>
  </w:style>
  <w:style w:type="paragraph" w:styleId="a4">
    <w:name w:val="header"/>
    <w:basedOn w:val="a"/>
    <w:link w:val="a5"/>
    <w:uiPriority w:val="99"/>
    <w:unhideWhenUsed/>
    <w:rsid w:val="008C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757"/>
  </w:style>
  <w:style w:type="paragraph" w:styleId="a6">
    <w:name w:val="footer"/>
    <w:basedOn w:val="a"/>
    <w:link w:val="a7"/>
    <w:uiPriority w:val="99"/>
    <w:unhideWhenUsed/>
    <w:rsid w:val="008C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757"/>
  </w:style>
  <w:style w:type="paragraph" w:styleId="a8">
    <w:name w:val="Balloon Text"/>
    <w:basedOn w:val="a"/>
    <w:link w:val="a9"/>
    <w:uiPriority w:val="99"/>
    <w:semiHidden/>
    <w:unhideWhenUsed/>
    <w:rsid w:val="00D8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67DF"/>
    <w:rPr>
      <w:i/>
      <w:iCs/>
    </w:rPr>
  </w:style>
  <w:style w:type="paragraph" w:styleId="a4">
    <w:name w:val="header"/>
    <w:basedOn w:val="a"/>
    <w:link w:val="a5"/>
    <w:uiPriority w:val="99"/>
    <w:unhideWhenUsed/>
    <w:rsid w:val="008C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757"/>
  </w:style>
  <w:style w:type="paragraph" w:styleId="a6">
    <w:name w:val="footer"/>
    <w:basedOn w:val="a"/>
    <w:link w:val="a7"/>
    <w:uiPriority w:val="99"/>
    <w:unhideWhenUsed/>
    <w:rsid w:val="008C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757"/>
  </w:style>
  <w:style w:type="paragraph" w:styleId="a8">
    <w:name w:val="Balloon Text"/>
    <w:basedOn w:val="a"/>
    <w:link w:val="a9"/>
    <w:uiPriority w:val="99"/>
    <w:semiHidden/>
    <w:unhideWhenUsed/>
    <w:rsid w:val="00D8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0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Александрович</dc:creator>
  <cp:lastModifiedBy>Глеб Александрович</cp:lastModifiedBy>
  <cp:revision>3</cp:revision>
  <cp:lastPrinted>2024-06-13T08:59:00Z</cp:lastPrinted>
  <dcterms:created xsi:type="dcterms:W3CDTF">2023-10-17T10:24:00Z</dcterms:created>
  <dcterms:modified xsi:type="dcterms:W3CDTF">2024-06-13T09:01:00Z</dcterms:modified>
</cp:coreProperties>
</file>